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Draconic Realms Creations: Self-Employment Business Plan</w:t>
      </w:r>
    </w:p>
    <w:bookmarkStart w:id="36" w:name="draconic-realms-creations"/>
    <w:p>
      <w:pPr>
        <w:pStyle w:val="Heading1"/>
      </w:pPr>
      <w:r>
        <w:t xml:space="preserve">Draconic Realms Creations</w:t>
      </w:r>
    </w:p>
    <w:bookmarkStart w:id="20" w:name="self-employment-business-plan"/>
    <w:p>
      <w:pPr>
        <w:pStyle w:val="Heading2"/>
      </w:pPr>
      <w:r>
        <w:t xml:space="preserve">Self-Employment Business Plan</w:t>
      </w:r>
    </w:p>
    <w:p>
      <w:pPr>
        <w:pStyle w:val="FirstParagraph"/>
      </w:pPr>
      <w:r>
        <w:t xml:space="preserve">Prepared by Eric Bryden, Founder and CEO</w:t>
      </w:r>
      <w:r>
        <w:br/>
      </w:r>
      <w:r>
        <w:t xml:space="preserve">Prepared for ACCES-VR vocational rehabilitation planning</w:t>
      </w:r>
      <w:r>
        <w:br/>
      </w:r>
      <w:r>
        <w:t xml:space="preserve">August 2026</w:t>
      </w:r>
    </w:p>
    <w:bookmarkEnd w:id="20"/>
    <w:bookmarkStart w:id="21" w:name="executive-summary"/>
    <w:p>
      <w:pPr>
        <w:pStyle w:val="Heading2"/>
      </w:pPr>
      <w:r>
        <w:t xml:space="preserve">Executive Summary</w:t>
      </w:r>
    </w:p>
    <w:p>
      <w:pPr>
        <w:pStyle w:val="FirstParagraph"/>
      </w:pPr>
      <w:r>
        <w:t xml:space="preserve">Draconic Realms Creations (DRC) is an emerging New York-based digital communication, multimedia, educational-content, and creative-services business. Its purpose is to help independent creators, small organizations, students, community groups, and mission-driven brands communicate clearly, ethically, and creatively through accessible digital media, education, storytelling, and technology-supported services.</w:t>
      </w:r>
    </w:p>
    <w:p>
      <w:pPr>
        <w:pStyle w:val="BodyText"/>
      </w:pPr>
      <w:r>
        <w:t xml:space="preserve">DRC is a practical self-employment path built on Eric Bryden’s strengths in communication, media design, leadership, technology, training, and creative production. The first-stage plan is lean and service-led: build a professional portfolio, package a limited set of clear services, establish customer and referral relationships, secure paid work, and add scalable digital products over time.</w:t>
      </w:r>
    </w:p>
    <w:tbl>
      <w:tblPr>
        <w:tblStyle w:val="Table"/>
        <w:tblW w:type="pct" w:w="5000"/>
        <w:tblLook w:firstRow="1" w:lastRow="0" w:firstColumn="0" w:lastColumn="0" w:noHBand="0" w:noVBand="0" w:val="0020"/>
        <w:jc w:val="start"/>
      </w:tblPr>
      <w:tblGrid>
        <w:gridCol w:w="3960"/>
        <w:gridCol w:w="3960"/>
      </w:tblGrid>
      <w:tr>
        <w:trPr>
          <w:tblHeader w:val="true"/>
        </w:trPr>
        <w:tc>
          <w:tcPr/>
          <w:p>
            <w:pPr>
              <w:pStyle w:val="Compact"/>
              <w:jc w:val="left"/>
            </w:pPr>
            <w:r>
              <w:t xml:space="preserve">Plan element</w:t>
            </w:r>
          </w:p>
        </w:tc>
        <w:tc>
          <w:tcPr/>
          <w:p>
            <w:pPr>
              <w:pStyle w:val="Compact"/>
              <w:jc w:val="left"/>
            </w:pPr>
            <w:r>
              <w:t xml:space="preserve">Summary</w:t>
            </w:r>
          </w:p>
        </w:tc>
      </w:tr>
      <w:tr>
        <w:tc>
          <w:tcPr/>
          <w:p>
            <w:pPr>
              <w:pStyle w:val="Compact"/>
              <w:jc w:val="left"/>
            </w:pPr>
            <w:r>
              <w:t xml:space="preserve">Business</w:t>
            </w:r>
          </w:p>
        </w:tc>
        <w:tc>
          <w:tcPr/>
          <w:p>
            <w:pPr>
              <w:pStyle w:val="Compact"/>
              <w:jc w:val="left"/>
            </w:pPr>
            <w:r>
              <w:t xml:space="preserve">Draconic Realms Creations (DRC)</w:t>
            </w:r>
          </w:p>
        </w:tc>
      </w:tr>
      <w:tr>
        <w:tc>
          <w:tcPr/>
          <w:p>
            <w:pPr>
              <w:pStyle w:val="Compact"/>
              <w:jc w:val="left"/>
            </w:pPr>
            <w:r>
              <w:t xml:space="preserve">Owner</w:t>
            </w:r>
          </w:p>
        </w:tc>
        <w:tc>
          <w:tcPr/>
          <w:p>
            <w:pPr>
              <w:pStyle w:val="Compact"/>
              <w:jc w:val="left"/>
            </w:pPr>
            <w:r>
              <w:t xml:space="preserve">Eric Bryden, Founder and CEO</w:t>
            </w:r>
          </w:p>
        </w:tc>
      </w:tr>
      <w:tr>
        <w:tc>
          <w:tcPr/>
          <w:p>
            <w:pPr>
              <w:pStyle w:val="Compact"/>
              <w:jc w:val="left"/>
            </w:pPr>
            <w:r>
              <w:t xml:space="preserve">Employment outcome</w:t>
            </w:r>
          </w:p>
        </w:tc>
        <w:tc>
          <w:tcPr/>
          <w:p>
            <w:pPr>
              <w:pStyle w:val="Compact"/>
              <w:jc w:val="left"/>
            </w:pPr>
            <w:r>
              <w:t xml:space="preserve">Sustainable self-employment in digital communication and creative media</w:t>
            </w:r>
          </w:p>
        </w:tc>
      </w:tr>
      <w:tr>
        <w:tc>
          <w:tcPr/>
          <w:p>
            <w:pPr>
              <w:pStyle w:val="Compact"/>
              <w:jc w:val="left"/>
            </w:pPr>
            <w:r>
              <w:t xml:space="preserve">Market</w:t>
            </w:r>
          </w:p>
        </w:tc>
        <w:tc>
          <w:tcPr/>
          <w:p>
            <w:pPr>
              <w:pStyle w:val="Compact"/>
              <w:jc w:val="left"/>
            </w:pPr>
            <w:r>
              <w:t xml:space="preserve">Central New York and remote U.S. customers</w:t>
            </w:r>
          </w:p>
        </w:tc>
      </w:tr>
      <w:tr>
        <w:tc>
          <w:tcPr/>
          <w:p>
            <w:pPr>
              <w:pStyle w:val="Compact"/>
              <w:jc w:val="left"/>
            </w:pPr>
            <w:r>
              <w:t xml:space="preserve">Initial model</w:t>
            </w:r>
          </w:p>
        </w:tc>
        <w:tc>
          <w:tcPr/>
          <w:p>
            <w:pPr>
              <w:pStyle w:val="Compact"/>
              <w:jc w:val="left"/>
            </w:pPr>
            <w:r>
              <w:t xml:space="preserve">Client services, educational resources, creative media, and digital products</w:t>
            </w:r>
          </w:p>
        </w:tc>
      </w:tr>
      <w:tr>
        <w:tc>
          <w:tcPr/>
          <w:p>
            <w:pPr>
              <w:pStyle w:val="Compact"/>
              <w:jc w:val="left"/>
            </w:pPr>
            <w:r>
              <w:t xml:space="preserve">2026-27 priority</w:t>
            </w:r>
          </w:p>
        </w:tc>
        <w:tc>
          <w:tcPr/>
          <w:p>
            <w:pPr>
              <w:pStyle w:val="Compact"/>
              <w:jc w:val="left"/>
            </w:pPr>
            <w:r>
              <w:t xml:space="preserve">Complete MA in Communication; build portfolio, service packages, customer pipeline, and reliable revenue</w:t>
            </w:r>
          </w:p>
        </w:tc>
      </w:tr>
    </w:tbl>
    <w:bookmarkEnd w:id="21"/>
    <w:bookmarkStart w:id="22" w:name="mission-vision-and-values"/>
    <w:p>
      <w:pPr>
        <w:pStyle w:val="Heading2"/>
      </w:pPr>
      <w:r>
        <w:t xml:space="preserve">Mission, Vision, and Values</w:t>
      </w:r>
    </w:p>
    <w:p>
      <w:pPr>
        <w:pStyle w:val="FirstParagraph"/>
      </w:pPr>
      <w:r>
        <w:rPr>
          <w:bCs/>
          <w:b/>
        </w:rPr>
        <w:t xml:space="preserve">Mission.</w:t>
      </w:r>
      <w:r>
        <w:t xml:space="preserve"> </w:t>
      </w:r>
      <w:r>
        <w:t xml:space="preserve">DRC helps people and purpose-driven organizations communicate clearly, ethically, and creatively through accessible digital media, education, storytelling, and technology-supported services.</w:t>
      </w:r>
    </w:p>
    <w:p>
      <w:pPr>
        <w:pStyle w:val="BodyText"/>
      </w:pPr>
      <w:r>
        <w:rPr>
          <w:bCs/>
          <w:b/>
        </w:rPr>
        <w:t xml:space="preserve">Vision.</w:t>
      </w:r>
      <w:r>
        <w:t xml:space="preserve"> </w:t>
      </w:r>
      <w:r>
        <w:t xml:space="preserve">To become a trusted, veteran-founded creative and educational studio known for integrity, inclusive communication, useful digital tools, and imaginative storytelling.</w:t>
      </w:r>
    </w:p>
    <w:p>
      <w:pPr>
        <w:pStyle w:val="BodyText"/>
      </w:pPr>
      <w:r>
        <w:rPr>
          <w:bCs/>
          <w:b/>
        </w:rPr>
        <w:t xml:space="preserve">Values.</w:t>
      </w:r>
    </w:p>
    <w:p>
      <w:pPr>
        <w:numPr>
          <w:ilvl w:val="0"/>
          <w:numId w:val="1001"/>
        </w:numPr>
        <w:pStyle w:val="Compact"/>
      </w:pPr>
      <w:r>
        <w:t xml:space="preserve">Truth and transparency in communication and marketing.</w:t>
      </w:r>
    </w:p>
    <w:p>
      <w:pPr>
        <w:numPr>
          <w:ilvl w:val="0"/>
          <w:numId w:val="1001"/>
        </w:numPr>
        <w:pStyle w:val="Compact"/>
      </w:pPr>
      <w:r>
        <w:t xml:space="preserve">Respect for copyright, privacy, accessibility, and informed consent.</w:t>
      </w:r>
    </w:p>
    <w:p>
      <w:pPr>
        <w:numPr>
          <w:ilvl w:val="0"/>
          <w:numId w:val="1001"/>
        </w:numPr>
        <w:pStyle w:val="Compact"/>
      </w:pPr>
      <w:r>
        <w:t xml:space="preserve">Creative work with practical purpose and positive community impact.</w:t>
      </w:r>
    </w:p>
    <w:p>
      <w:pPr>
        <w:numPr>
          <w:ilvl w:val="0"/>
          <w:numId w:val="1001"/>
        </w:numPr>
        <w:pStyle w:val="Compact"/>
      </w:pPr>
      <w:r>
        <w:t xml:space="preserve">Ethical AI use, with human review and appropriate disclosure.</w:t>
      </w:r>
    </w:p>
    <w:p>
      <w:pPr>
        <w:numPr>
          <w:ilvl w:val="0"/>
          <w:numId w:val="1001"/>
        </w:numPr>
        <w:pStyle w:val="Compact"/>
      </w:pPr>
      <w:r>
        <w:t xml:space="preserve">Professional reliability, continuous learning, and respectful client relationships.</w:t>
      </w:r>
    </w:p>
    <w:bookmarkEnd w:id="22"/>
    <w:bookmarkStart w:id="23" w:name="ownership-and-career-foundation"/>
    <w:p>
      <w:pPr>
        <w:pStyle w:val="Heading2"/>
      </w:pPr>
      <w:r>
        <w:t xml:space="preserve">Ownership and Career Foundation</w:t>
      </w:r>
    </w:p>
    <w:p>
      <w:pPr>
        <w:pStyle w:val="FirstParagraph"/>
      </w:pPr>
      <w:r>
        <w:t xml:space="preserve">DRC is currently operated by Eric Bryden as a sole proprietorship. The future goal is to formalize as an LLC when revenue, planning, and professional guidance support that step. The business will maintain appropriate records, contracts, tax compliance, licensing, insurance, and policies as it grows.</w:t>
      </w:r>
    </w:p>
    <w:p>
      <w:pPr>
        <w:pStyle w:val="BodyText"/>
      </w:pPr>
      <w:r>
        <w:t xml:space="preserve">The founder holds a bachelor’s degree in Sociology of Law and a master’s degree in Media Design and is pursuing a Master of Arts in Communication at Southern New Hampshire University. Relevant strengths include digital communication, media design, website development, ethical storytelling, visual and audio production, AI-supported workflows, education, training, leadership, research, and strategic planning.</w:t>
      </w:r>
    </w:p>
    <w:bookmarkEnd w:id="23"/>
    <w:bookmarkStart w:id="24" w:name="products-and-services"/>
    <w:p>
      <w:pPr>
        <w:pStyle w:val="Heading2"/>
      </w:pPr>
      <w:r>
        <w:t xml:space="preserve">Products and Services</w:t>
      </w:r>
    </w:p>
    <w:tbl>
      <w:tblPr>
        <w:tblStyle w:val="Table"/>
        <w:tblW w:type="pct" w:w="500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Service line</w:t>
            </w:r>
          </w:p>
        </w:tc>
        <w:tc>
          <w:tcPr/>
          <w:p>
            <w:pPr>
              <w:pStyle w:val="Compact"/>
              <w:jc w:val="left"/>
            </w:pPr>
            <w:r>
              <w:t xml:space="preserve">Customer need</w:t>
            </w:r>
          </w:p>
        </w:tc>
        <w:tc>
          <w:tcPr/>
          <w:p>
            <w:pPr>
              <w:pStyle w:val="Compact"/>
              <w:jc w:val="left"/>
            </w:pPr>
            <w:r>
              <w:t xml:space="preserve">Initial deliverables</w:t>
            </w:r>
          </w:p>
        </w:tc>
      </w:tr>
      <w:tr>
        <w:tc>
          <w:tcPr/>
          <w:p>
            <w:pPr>
              <w:pStyle w:val="Compact"/>
              <w:jc w:val="left"/>
            </w:pPr>
            <w:r>
              <w:t xml:space="preserve">Digital communication and content</w:t>
            </w:r>
          </w:p>
        </w:tc>
        <w:tc>
          <w:tcPr/>
          <w:p>
            <w:pPr>
              <w:pStyle w:val="Compact"/>
              <w:jc w:val="left"/>
            </w:pPr>
            <w:r>
              <w:t xml:space="preserve">Clear, consistent communication</w:t>
            </w:r>
          </w:p>
        </w:tc>
        <w:tc>
          <w:tcPr/>
          <w:p>
            <w:pPr>
              <w:pStyle w:val="Compact"/>
              <w:jc w:val="left"/>
            </w:pPr>
            <w:r>
              <w:t xml:space="preserve">Content plans, web copy, newsletters, social posts, campaign messaging</w:t>
            </w:r>
          </w:p>
        </w:tc>
      </w:tr>
      <w:tr>
        <w:tc>
          <w:tcPr/>
          <w:p>
            <w:pPr>
              <w:pStyle w:val="Compact"/>
              <w:jc w:val="left"/>
            </w:pPr>
            <w:r>
              <w:t xml:space="preserve">Website and digital presence</w:t>
            </w:r>
          </w:p>
        </w:tc>
        <w:tc>
          <w:tcPr/>
          <w:p>
            <w:pPr>
              <w:pStyle w:val="Compact"/>
              <w:jc w:val="left"/>
            </w:pPr>
            <w:r>
              <w:t xml:space="preserve">Credible online home</w:t>
            </w:r>
          </w:p>
        </w:tc>
        <w:tc>
          <w:tcPr/>
          <w:p>
            <w:pPr>
              <w:pStyle w:val="Compact"/>
              <w:jc w:val="left"/>
            </w:pPr>
            <w:r>
              <w:t xml:space="preserve">Simple websites, landing pages, accessibility-aware updates, content organization</w:t>
            </w:r>
          </w:p>
        </w:tc>
      </w:tr>
      <w:tr>
        <w:tc>
          <w:tcPr/>
          <w:p>
            <w:pPr>
              <w:pStyle w:val="Compact"/>
              <w:jc w:val="left"/>
            </w:pPr>
            <w:r>
              <w:t xml:space="preserve">Creative media and storytelling</w:t>
            </w:r>
          </w:p>
        </w:tc>
        <w:tc>
          <w:tcPr/>
          <w:p>
            <w:pPr>
              <w:pStyle w:val="Compact"/>
              <w:jc w:val="left"/>
            </w:pPr>
            <w:r>
              <w:t xml:space="preserve">Engaging mission or brand story</w:t>
            </w:r>
          </w:p>
        </w:tc>
        <w:tc>
          <w:tcPr/>
          <w:p>
            <w:pPr>
              <w:pStyle w:val="Compact"/>
              <w:jc w:val="left"/>
            </w:pPr>
            <w:r>
              <w:t xml:space="preserve">Visual assets, short-form video concepts, audio and multimedia content</w:t>
            </w:r>
          </w:p>
        </w:tc>
      </w:tr>
      <w:tr>
        <w:tc>
          <w:tcPr/>
          <w:p>
            <w:pPr>
              <w:pStyle w:val="Compact"/>
              <w:jc w:val="left"/>
            </w:pPr>
            <w:r>
              <w:t xml:space="preserve">Educational resources</w:t>
            </w:r>
          </w:p>
        </w:tc>
        <w:tc>
          <w:tcPr/>
          <w:p>
            <w:pPr>
              <w:pStyle w:val="Compact"/>
              <w:jc w:val="left"/>
            </w:pPr>
            <w:r>
              <w:t xml:space="preserve">Useful, understandable guidance</w:t>
            </w:r>
          </w:p>
        </w:tc>
        <w:tc>
          <w:tcPr/>
          <w:p>
            <w:pPr>
              <w:pStyle w:val="Compact"/>
              <w:jc w:val="left"/>
            </w:pPr>
            <w:r>
              <w:t xml:space="preserve">Interactive handbooks, training materials, ethical-AI resources, learning content</w:t>
            </w:r>
          </w:p>
        </w:tc>
      </w:tr>
      <w:tr>
        <w:tc>
          <w:tcPr/>
          <w:p>
            <w:pPr>
              <w:pStyle w:val="Compact"/>
              <w:jc w:val="left"/>
            </w:pPr>
            <w:r>
              <w:t xml:space="preserve">Creator and small-business support</w:t>
            </w:r>
          </w:p>
        </w:tc>
        <w:tc>
          <w:tcPr/>
          <w:p>
            <w:pPr>
              <w:pStyle w:val="Compact"/>
              <w:jc w:val="left"/>
            </w:pPr>
            <w:r>
              <w:t xml:space="preserve">Practical digital setup help</w:t>
            </w:r>
          </w:p>
        </w:tc>
        <w:tc>
          <w:tcPr/>
          <w:p>
            <w:pPr>
              <w:pStyle w:val="Compact"/>
              <w:jc w:val="left"/>
            </w:pPr>
            <w:r>
              <w:t xml:space="preserve">Brand foundations, portfolio guidance, workflow and content planning</w:t>
            </w:r>
          </w:p>
        </w:tc>
      </w:tr>
      <w:tr>
        <w:tc>
          <w:tcPr/>
          <w:p>
            <w:pPr>
              <w:pStyle w:val="Compact"/>
              <w:jc w:val="left"/>
            </w:pPr>
            <w:r>
              <w:t xml:space="preserve">Digital products</w:t>
            </w:r>
          </w:p>
        </w:tc>
        <w:tc>
          <w:tcPr/>
          <w:p>
            <w:pPr>
              <w:pStyle w:val="Compact"/>
              <w:jc w:val="left"/>
            </w:pPr>
            <w:r>
              <w:t xml:space="preserve">Affordable reusable tools</w:t>
            </w:r>
          </w:p>
        </w:tc>
        <w:tc>
          <w:tcPr/>
          <w:p>
            <w:pPr>
              <w:pStyle w:val="Compact"/>
              <w:jc w:val="left"/>
            </w:pPr>
            <w:r>
              <w:t xml:space="preserve">Templates, guides, checklists, music/media products, downloadable resources</w:t>
            </w:r>
          </w:p>
        </w:tc>
      </w:tr>
    </w:tbl>
    <w:bookmarkEnd w:id="24"/>
    <w:bookmarkStart w:id="25" w:name="target-audience"/>
    <w:p>
      <w:pPr>
        <w:pStyle w:val="Heading2"/>
      </w:pPr>
      <w:r>
        <w:t xml:space="preserve">Target Audience</w:t>
      </w:r>
    </w:p>
    <w:p>
      <w:pPr>
        <w:pStyle w:val="FirstParagraph"/>
      </w:pPr>
      <w:r>
        <w:t xml:space="preserve">DRC will focus on audiences that value personal guidance, ethical communication, affordable digital support, and creative storytelling.</w:t>
      </w:r>
    </w:p>
    <w:tbl>
      <w:tblPr>
        <w:tblStyle w:val="Table"/>
        <w:tblW w:type="pct" w:w="500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Priority segment</w:t>
            </w:r>
          </w:p>
        </w:tc>
        <w:tc>
          <w:tcPr/>
          <w:p>
            <w:pPr>
              <w:pStyle w:val="Compact"/>
              <w:jc w:val="left"/>
            </w:pPr>
            <w:r>
              <w:t xml:space="preserve">Need</w:t>
            </w:r>
          </w:p>
        </w:tc>
        <w:tc>
          <w:tcPr/>
          <w:p>
            <w:pPr>
              <w:pStyle w:val="Compact"/>
              <w:jc w:val="left"/>
            </w:pPr>
            <w:r>
              <w:t xml:space="preserve">DRC value</w:t>
            </w:r>
          </w:p>
        </w:tc>
        <w:tc>
          <w:tcPr/>
          <w:p>
            <w:pPr>
              <w:pStyle w:val="Compact"/>
              <w:jc w:val="left"/>
            </w:pPr>
            <w:r>
              <w:t xml:space="preserve">How reached</w:t>
            </w:r>
          </w:p>
        </w:tc>
      </w:tr>
      <w:tr>
        <w:tc>
          <w:tcPr/>
          <w:p>
            <w:pPr>
              <w:pStyle w:val="Compact"/>
              <w:jc w:val="left"/>
            </w:pPr>
            <w:r>
              <w:t xml:space="preserve">Independent creators and artists</w:t>
            </w:r>
          </w:p>
        </w:tc>
        <w:tc>
          <w:tcPr/>
          <w:p>
            <w:pPr>
              <w:pStyle w:val="Compact"/>
              <w:jc w:val="left"/>
            </w:pPr>
            <w:r>
              <w:t xml:space="preserve">Brand clarity, content, portfolio, digital presence</w:t>
            </w:r>
          </w:p>
        </w:tc>
        <w:tc>
          <w:tcPr/>
          <w:p>
            <w:pPr>
              <w:pStyle w:val="Compact"/>
              <w:jc w:val="left"/>
            </w:pPr>
            <w:r>
              <w:t xml:space="preserve">Practical support from a fellow creator</w:t>
            </w:r>
          </w:p>
        </w:tc>
        <w:tc>
          <w:tcPr/>
          <w:p>
            <w:pPr>
              <w:pStyle w:val="Compact"/>
              <w:jc w:val="left"/>
            </w:pPr>
            <w:r>
              <w:t xml:space="preserve">Portfolio, creator communities, referrals, social media</w:t>
            </w:r>
          </w:p>
        </w:tc>
      </w:tr>
      <w:tr>
        <w:tc>
          <w:tcPr/>
          <w:p>
            <w:pPr>
              <w:pStyle w:val="Compact"/>
              <w:jc w:val="left"/>
            </w:pPr>
            <w:r>
              <w:t xml:space="preserve">Small local businesses</w:t>
            </w:r>
          </w:p>
        </w:tc>
        <w:tc>
          <w:tcPr/>
          <w:p>
            <w:pPr>
              <w:pStyle w:val="Compact"/>
              <w:jc w:val="left"/>
            </w:pPr>
            <w:r>
              <w:t xml:space="preserve">Affordable websites and professional communication</w:t>
            </w:r>
          </w:p>
        </w:tc>
        <w:tc>
          <w:tcPr/>
          <w:p>
            <w:pPr>
              <w:pStyle w:val="Compact"/>
              <w:jc w:val="left"/>
            </w:pPr>
            <w:r>
              <w:t xml:space="preserve">Clear packages without agency-level complexity</w:t>
            </w:r>
          </w:p>
        </w:tc>
        <w:tc>
          <w:tcPr/>
          <w:p>
            <w:pPr>
              <w:pStyle w:val="Compact"/>
              <w:jc w:val="left"/>
            </w:pPr>
            <w:r>
              <w:t xml:space="preserve">Local networking, referrals, business groups</w:t>
            </w:r>
          </w:p>
        </w:tc>
      </w:tr>
      <w:tr>
        <w:tc>
          <w:tcPr/>
          <w:p>
            <w:pPr>
              <w:pStyle w:val="Compact"/>
              <w:jc w:val="left"/>
            </w:pPr>
            <w:r>
              <w:t xml:space="preserve">Community and nonprofit groups</w:t>
            </w:r>
          </w:p>
        </w:tc>
        <w:tc>
          <w:tcPr/>
          <w:p>
            <w:pPr>
              <w:pStyle w:val="Compact"/>
              <w:jc w:val="left"/>
            </w:pPr>
            <w:r>
              <w:t xml:space="preserve">Mission storytelling, training, digital outreach</w:t>
            </w:r>
          </w:p>
        </w:tc>
        <w:tc>
          <w:tcPr/>
          <w:p>
            <w:pPr>
              <w:pStyle w:val="Compact"/>
              <w:jc w:val="left"/>
            </w:pPr>
            <w:r>
              <w:t xml:space="preserve">Purpose-driven, accessible support</w:t>
            </w:r>
          </w:p>
        </w:tc>
        <w:tc>
          <w:tcPr/>
          <w:p>
            <w:pPr>
              <w:pStyle w:val="Compact"/>
              <w:jc w:val="left"/>
            </w:pPr>
            <w:r>
              <w:t xml:space="preserve">Partnerships, referrals, direct outreach</w:t>
            </w:r>
          </w:p>
        </w:tc>
      </w:tr>
      <w:tr>
        <w:tc>
          <w:tcPr/>
          <w:p>
            <w:pPr>
              <w:pStyle w:val="Compact"/>
              <w:jc w:val="left"/>
            </w:pPr>
            <w:r>
              <w:t xml:space="preserve">Students and adult learners</w:t>
            </w:r>
          </w:p>
        </w:tc>
        <w:tc>
          <w:tcPr/>
          <w:p>
            <w:pPr>
              <w:pStyle w:val="Compact"/>
              <w:jc w:val="left"/>
            </w:pPr>
            <w:r>
              <w:t xml:space="preserve">Ethical learning tools and structured resources</w:t>
            </w:r>
          </w:p>
        </w:tc>
        <w:tc>
          <w:tcPr/>
          <w:p>
            <w:pPr>
              <w:pStyle w:val="Compact"/>
              <w:jc w:val="left"/>
            </w:pPr>
            <w:r>
              <w:t xml:space="preserve">Accessibility and integrity-centered content</w:t>
            </w:r>
          </w:p>
        </w:tc>
        <w:tc>
          <w:tcPr/>
          <w:p>
            <w:pPr>
              <w:pStyle w:val="Compact"/>
              <w:jc w:val="left"/>
            </w:pPr>
            <w:r>
              <w:t xml:space="preserve">Website, digital products, education networks</w:t>
            </w:r>
          </w:p>
        </w:tc>
      </w:tr>
      <w:tr>
        <w:tc>
          <w:tcPr/>
          <w:p>
            <w:pPr>
              <w:pStyle w:val="Compact"/>
              <w:jc w:val="left"/>
            </w:pPr>
            <w:r>
              <w:t xml:space="preserve">Gaming and fandom communities</w:t>
            </w:r>
          </w:p>
        </w:tc>
        <w:tc>
          <w:tcPr/>
          <w:p>
            <w:pPr>
              <w:pStyle w:val="Compact"/>
              <w:jc w:val="left"/>
            </w:pPr>
            <w:r>
              <w:t xml:space="preserve">Guides, creative media, tools, community content</w:t>
            </w:r>
          </w:p>
        </w:tc>
        <w:tc>
          <w:tcPr/>
          <w:p>
            <w:pPr>
              <w:pStyle w:val="Compact"/>
              <w:jc w:val="left"/>
            </w:pPr>
            <w:r>
              <w:t xml:space="preserve">Authentic niche knowledge and imaginative storytelling</w:t>
            </w:r>
          </w:p>
        </w:tc>
        <w:tc>
          <w:tcPr/>
          <w:p>
            <w:pPr>
              <w:pStyle w:val="Compact"/>
              <w:jc w:val="left"/>
            </w:pPr>
            <w:r>
              <w:t xml:space="preserve">Gaming hub, online communities, video and social platforms</w:t>
            </w:r>
          </w:p>
        </w:tc>
      </w:tr>
    </w:tbl>
    <w:p>
      <w:pPr>
        <w:pStyle w:val="BodyText"/>
      </w:pPr>
      <w:r>
        <w:rPr>
          <w:bCs/>
          <w:b/>
        </w:rPr>
        <w:t xml:space="preserve">Ideal early client:</w:t>
      </w:r>
      <w:r>
        <w:t xml:space="preserve"> </w:t>
      </w:r>
      <w:r>
        <w:t xml:space="preserve">an independent creator, small organization, or community business with a defined communication or digital-presence problem, a realistic budget, and a need for a focused project.</w:t>
      </w:r>
    </w:p>
    <w:bookmarkEnd w:id="25"/>
    <w:bookmarkStart w:id="26" w:name="X863079bce4084ff1072e159b940418313981c23"/>
    <w:p>
      <w:pPr>
        <w:pStyle w:val="Heading2"/>
      </w:pPr>
      <w:r>
        <w:t xml:space="preserve">Market Position and Competitive Advantage</w:t>
      </w:r>
    </w:p>
    <w:p>
      <w:pPr>
        <w:pStyle w:val="FirstParagraph"/>
      </w:pPr>
      <w:r>
        <w:t xml:space="preserve">DRC will not compete solely on the lowest price. It will offer understandable, focused packages and strong value for customers who need direct, reliable help.</w:t>
      </w:r>
    </w:p>
    <w:p>
      <w:pPr>
        <w:numPr>
          <w:ilvl w:val="0"/>
          <w:numId w:val="1002"/>
        </w:numPr>
        <w:pStyle w:val="Compact"/>
      </w:pPr>
      <w:r>
        <w:t xml:space="preserve">Clients work directly with the founder creating the strategy and deliverables.</w:t>
      </w:r>
    </w:p>
    <w:p>
      <w:pPr>
        <w:numPr>
          <w:ilvl w:val="0"/>
          <w:numId w:val="1002"/>
        </w:numPr>
        <w:pStyle w:val="Compact"/>
      </w:pPr>
      <w:r>
        <w:t xml:space="preserve">The business combines communication, media design, education, ethics, storytelling, and technology.</w:t>
      </w:r>
    </w:p>
    <w:p>
      <w:pPr>
        <w:numPr>
          <w:ilvl w:val="0"/>
          <w:numId w:val="1002"/>
        </w:numPr>
        <w:pStyle w:val="Compact"/>
      </w:pPr>
      <w:r>
        <w:t xml:space="preserve">The approach is accessibility-aware and ethics-centered rather than trend-driven.</w:t>
      </w:r>
    </w:p>
    <w:p>
      <w:pPr>
        <w:numPr>
          <w:ilvl w:val="0"/>
          <w:numId w:val="1002"/>
        </w:numPr>
        <w:pStyle w:val="Compact"/>
      </w:pPr>
      <w:r>
        <w:t xml:space="preserve">Services can be provided locally or remotely.</w:t>
      </w:r>
    </w:p>
    <w:p>
      <w:pPr>
        <w:numPr>
          <w:ilvl w:val="0"/>
          <w:numId w:val="1002"/>
        </w:numPr>
        <w:pStyle w:val="Compact"/>
      </w:pPr>
      <w:r>
        <w:t xml:space="preserve">Customized service work can be paired with reusable educational and digital-product resources.</w:t>
      </w:r>
    </w:p>
    <w:bookmarkEnd w:id="26"/>
    <w:bookmarkStart w:id="27" w:name="marketing-and-sales-strategy"/>
    <w:p>
      <w:pPr>
        <w:pStyle w:val="Heading2"/>
      </w:pPr>
      <w:r>
        <w:t xml:space="preserve">Marketing and Sales Strategy</w:t>
      </w:r>
    </w:p>
    <w:p>
      <w:pPr>
        <w:pStyle w:val="FirstParagraph"/>
      </w:pPr>
      <w:r>
        <w:rPr>
          <w:bCs/>
          <w:b/>
        </w:rPr>
        <w:t xml:space="preserve">Brand promise:</w:t>
      </w:r>
      <w:r>
        <w:t xml:space="preserve"> </w:t>
      </w:r>
      <w:r>
        <w:t xml:space="preserve">Creative communication with integrity—clear, accessible, and built around the client’s real purpose.</w:t>
      </w:r>
    </w:p>
    <w:p>
      <w:pPr>
        <w:pStyle w:val="BodyText"/>
      </w:pPr>
      <w:r>
        <w:t xml:space="preserve">Marketing will center on the DRC website, portfolio case studies, referral relationships, professional networking, helpful educational content, and organized follow-up with inquiries. Key channels include LinkedIn, local business and community networks, veteran and creator networks, online communities, email, video, and social-media content.</w:t>
      </w:r>
    </w:p>
    <w:tbl>
      <w:tblPr>
        <w:tblStyle w:val="Table"/>
        <w:tblW w:type="pct" w:w="500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Sales step</w:t>
            </w:r>
          </w:p>
        </w:tc>
        <w:tc>
          <w:tcPr/>
          <w:p>
            <w:pPr>
              <w:pStyle w:val="Compact"/>
              <w:jc w:val="left"/>
            </w:pPr>
            <w:r>
              <w:t xml:space="preserve">Action</w:t>
            </w:r>
          </w:p>
        </w:tc>
        <w:tc>
          <w:tcPr/>
          <w:p>
            <w:pPr>
              <w:pStyle w:val="Compact"/>
              <w:jc w:val="left"/>
            </w:pPr>
            <w:r>
              <w:t xml:space="preserve">Measure</w:t>
            </w:r>
          </w:p>
        </w:tc>
      </w:tr>
      <w:tr>
        <w:tc>
          <w:tcPr/>
          <w:p>
            <w:pPr>
              <w:pStyle w:val="Compact"/>
              <w:jc w:val="left"/>
            </w:pPr>
            <w:r>
              <w:t xml:space="preserve">Attract</w:t>
            </w:r>
          </w:p>
        </w:tc>
        <w:tc>
          <w:tcPr/>
          <w:p>
            <w:pPr>
              <w:pStyle w:val="Compact"/>
              <w:jc w:val="left"/>
            </w:pPr>
            <w:r>
              <w:t xml:space="preserve">Publish useful work and build referral visibility</w:t>
            </w:r>
          </w:p>
        </w:tc>
        <w:tc>
          <w:tcPr/>
          <w:p>
            <w:pPr>
              <w:pStyle w:val="Compact"/>
              <w:jc w:val="left"/>
            </w:pPr>
            <w:r>
              <w:t xml:space="preserve">Website visits, inquiries, referrals</w:t>
            </w:r>
          </w:p>
        </w:tc>
      </w:tr>
      <w:tr>
        <w:tc>
          <w:tcPr/>
          <w:p>
            <w:pPr>
              <w:pStyle w:val="Compact"/>
              <w:jc w:val="left"/>
            </w:pPr>
            <w:r>
              <w:t xml:space="preserve">Discover</w:t>
            </w:r>
          </w:p>
        </w:tc>
        <w:tc>
          <w:tcPr/>
          <w:p>
            <w:pPr>
              <w:pStyle w:val="Compact"/>
              <w:jc w:val="left"/>
            </w:pPr>
            <w:r>
              <w:t xml:space="preserve">Hold a structured consultation</w:t>
            </w:r>
          </w:p>
        </w:tc>
        <w:tc>
          <w:tcPr/>
          <w:p>
            <w:pPr>
              <w:pStyle w:val="Compact"/>
              <w:jc w:val="left"/>
            </w:pPr>
            <w:r>
              <w:t xml:space="preserve">Qualified lead and written scope</w:t>
            </w:r>
          </w:p>
        </w:tc>
      </w:tr>
      <w:tr>
        <w:tc>
          <w:tcPr/>
          <w:p>
            <w:pPr>
              <w:pStyle w:val="Compact"/>
              <w:jc w:val="left"/>
            </w:pPr>
            <w:r>
              <w:t xml:space="preserve">Propose</w:t>
            </w:r>
          </w:p>
        </w:tc>
        <w:tc>
          <w:tcPr/>
          <w:p>
            <w:pPr>
              <w:pStyle w:val="Compact"/>
              <w:jc w:val="left"/>
            </w:pPr>
            <w:r>
              <w:t xml:space="preserve">Provide clear package, price, timeline, and deliverables</w:t>
            </w:r>
          </w:p>
        </w:tc>
        <w:tc>
          <w:tcPr/>
          <w:p>
            <w:pPr>
              <w:pStyle w:val="Compact"/>
              <w:jc w:val="left"/>
            </w:pPr>
            <w:r>
              <w:t xml:space="preserve">Agreement or documented decision</w:t>
            </w:r>
          </w:p>
        </w:tc>
      </w:tr>
      <w:tr>
        <w:tc>
          <w:tcPr/>
          <w:p>
            <w:pPr>
              <w:pStyle w:val="Compact"/>
              <w:jc w:val="left"/>
            </w:pPr>
            <w:r>
              <w:t xml:space="preserve">Deliver</w:t>
            </w:r>
          </w:p>
        </w:tc>
        <w:tc>
          <w:tcPr/>
          <w:p>
            <w:pPr>
              <w:pStyle w:val="Compact"/>
              <w:jc w:val="left"/>
            </w:pPr>
            <w:r>
              <w:t xml:space="preserve">Use milestones, feedback, and approval points</w:t>
            </w:r>
          </w:p>
        </w:tc>
        <w:tc>
          <w:tcPr/>
          <w:p>
            <w:pPr>
              <w:pStyle w:val="Compact"/>
              <w:jc w:val="left"/>
            </w:pPr>
            <w:r>
              <w:t xml:space="preserve">Completed work and client acceptance</w:t>
            </w:r>
          </w:p>
        </w:tc>
      </w:tr>
      <w:tr>
        <w:tc>
          <w:tcPr/>
          <w:p>
            <w:pPr>
              <w:pStyle w:val="Compact"/>
              <w:jc w:val="left"/>
            </w:pPr>
            <w:r>
              <w:t xml:space="preserve">Retain</w:t>
            </w:r>
          </w:p>
        </w:tc>
        <w:tc>
          <w:tcPr/>
          <w:p>
            <w:pPr>
              <w:pStyle w:val="Compact"/>
              <w:jc w:val="left"/>
            </w:pPr>
            <w:r>
              <w:t xml:space="preserve">Request feedback, testimonial, referral, and next-project discussion</w:t>
            </w:r>
          </w:p>
        </w:tc>
        <w:tc>
          <w:tcPr/>
          <w:p>
            <w:pPr>
              <w:pStyle w:val="Compact"/>
              <w:jc w:val="left"/>
            </w:pPr>
            <w:r>
              <w:t xml:space="preserve">Repeat work, testimonial, or referral</w:t>
            </w:r>
          </w:p>
        </w:tc>
      </w:tr>
    </w:tbl>
    <w:bookmarkEnd w:id="27"/>
    <w:bookmarkStart w:id="28" w:name="operations-and-ethics"/>
    <w:p>
      <w:pPr>
        <w:pStyle w:val="Heading2"/>
      </w:pPr>
      <w:r>
        <w:t xml:space="preserve">Operations and Ethics</w:t>
      </w:r>
    </w:p>
    <w:p>
      <w:pPr>
        <w:pStyle w:val="FirstParagraph"/>
      </w:pPr>
      <w:r>
        <w:t xml:space="preserve">DRC will use a documented workflow: client intake; written scope and agreement; milestone-based production; quality review; final delivery; and follow-up. Written proposals or agreements will define deliverables, timeline, revisions, payment terms, and responsibilities.</w:t>
      </w:r>
    </w:p>
    <w:p>
      <w:pPr>
        <w:pStyle w:val="BodyText"/>
      </w:pPr>
      <w:r>
        <w:t xml:space="preserve">DRC’s Digital Communication Law &amp; Ethics Handbook will guide operations. The business will use original or properly licensed material, protect client privacy, document permissions, avoid misleading claims, disclose material AI use when appropriate, and use accessible communication practices.</w:t>
      </w:r>
    </w:p>
    <w:bookmarkEnd w:id="28"/>
    <w:bookmarkStart w:id="29" w:name="management-and-staffing"/>
    <w:p>
      <w:pPr>
        <w:pStyle w:val="Heading2"/>
      </w:pPr>
      <w:r>
        <w:t xml:space="preserve">Management and Staffing</w:t>
      </w:r>
    </w:p>
    <w:p>
      <w:pPr>
        <w:pStyle w:val="FirstParagraph"/>
      </w:pPr>
      <w:r>
        <w:t xml:space="preserve">Eric Bryden will manage client communication, strategy, creative direction, production, quality review, and business development during the startup stage. Contractors or partners will be used only when specialized skills are needed or workload exceeds sustainable capacity. Future hiring will be gradual and supported by documented revenue and demand.</w:t>
      </w:r>
    </w:p>
    <w:bookmarkEnd w:id="29"/>
    <w:bookmarkStart w:id="30" w:name="financial-plan"/>
    <w:p>
      <w:pPr>
        <w:pStyle w:val="Heading2"/>
      </w:pPr>
      <w:r>
        <w:t xml:space="preserve">Financial Plan</w:t>
      </w:r>
    </w:p>
    <w:p>
      <w:pPr>
        <w:pStyle w:val="FirstParagraph"/>
      </w:pPr>
      <w:r>
        <w:t xml:space="preserve">DRC is in the startup and early-revenue stage. Current business revenue is $0. Estimated ongoing business expenses are approximately $400 per month. The business seeks approximately $10,000 in startup and capacity-building support through appropriate programs, comparable benefits, and business-development resources. Funding decisions are subject to ACCES-VR policy, financial-need review, and approval.</w:t>
      </w:r>
    </w:p>
    <w:p>
      <w:pPr>
        <w:pStyle w:val="BodyText"/>
      </w:pPr>
      <w:r>
        <w:rPr>
          <w:bCs/>
          <w:b/>
        </w:rPr>
        <w:t xml:space="preserve">Revenue model:</w:t>
      </w:r>
      <w:r>
        <w:t xml:space="preserve"> </w:t>
      </w:r>
      <w:r>
        <w:t xml:space="preserve">project-based services; repeat-client support packages; digital products such as guides and templates; creative-media and educational products; and future partnerships, training, and licensing when the core business is stable.</w:t>
      </w:r>
    </w:p>
    <w:tbl>
      <w:tblPr>
        <w:tblStyle w:val="Table"/>
        <w:tblW w:type="pct" w:w="5000"/>
        <w:tblLook w:firstRow="1" w:lastRow="0" w:firstColumn="0" w:lastColumn="0" w:noHBand="0" w:noVBand="0" w:val="0020"/>
        <w:jc w:val="start"/>
      </w:tblPr>
      <w:tblGrid>
        <w:gridCol w:w="2376"/>
        <w:gridCol w:w="3168"/>
        <w:gridCol w:w="2376"/>
      </w:tblGrid>
      <w:tr>
        <w:trPr>
          <w:tblHeader w:val="true"/>
        </w:trPr>
        <w:tc>
          <w:tcPr/>
          <w:p>
            <w:pPr>
              <w:pStyle w:val="Compact"/>
              <w:jc w:val="left"/>
            </w:pPr>
            <w:r>
              <w:t xml:space="preserve">Period</w:t>
            </w:r>
          </w:p>
        </w:tc>
        <w:tc>
          <w:tcPr/>
          <w:p>
            <w:pPr>
              <w:pStyle w:val="Compact"/>
              <w:jc w:val="right"/>
            </w:pPr>
            <w:r>
              <w:t xml:space="preserve">Revenue target</w:t>
            </w:r>
          </w:p>
        </w:tc>
        <w:tc>
          <w:tcPr/>
          <w:p>
            <w:pPr>
              <w:pStyle w:val="Compact"/>
              <w:jc w:val="left"/>
            </w:pPr>
            <w:r>
              <w:t xml:space="preserve">Primary focus</w:t>
            </w:r>
          </w:p>
        </w:tc>
      </w:tr>
      <w:tr>
        <w:tc>
          <w:tcPr/>
          <w:p>
            <w:pPr>
              <w:pStyle w:val="Compact"/>
              <w:jc w:val="left"/>
            </w:pPr>
            <w:r>
              <w:t xml:space="preserve">First 6 months</w:t>
            </w:r>
          </w:p>
        </w:tc>
        <w:tc>
          <w:tcPr/>
          <w:p>
            <w:pPr>
              <w:pStyle w:val="Compact"/>
              <w:jc w:val="right"/>
            </w:pPr>
            <w:r>
              <w:t xml:space="preserve">Build pipeline and first paid projects</w:t>
            </w:r>
          </w:p>
        </w:tc>
        <w:tc>
          <w:tcPr/>
          <w:p>
            <w:pPr>
              <w:pStyle w:val="Compact"/>
              <w:jc w:val="left"/>
            </w:pPr>
            <w:r>
              <w:t xml:space="preserve">Portfolio, outreach, service testing, referrals</w:t>
            </w:r>
          </w:p>
        </w:tc>
      </w:tr>
      <w:tr>
        <w:tc>
          <w:tcPr/>
          <w:p>
            <w:pPr>
              <w:pStyle w:val="Compact"/>
              <w:jc w:val="left"/>
            </w:pPr>
            <w:r>
              <w:t xml:space="preserve">Months 7-12</w:t>
            </w:r>
          </w:p>
        </w:tc>
        <w:tc>
          <w:tcPr/>
          <w:p>
            <w:pPr>
              <w:pStyle w:val="Compact"/>
              <w:jc w:val="right"/>
            </w:pPr>
            <w:r>
              <w:t xml:space="preserve">$500-$1,500 average monthly gross revenue</w:t>
            </w:r>
          </w:p>
        </w:tc>
        <w:tc>
          <w:tcPr/>
          <w:p>
            <w:pPr>
              <w:pStyle w:val="Compact"/>
              <w:jc w:val="left"/>
            </w:pPr>
            <w:r>
              <w:t xml:space="preserve">Repeatable packages, referrals, initial digital-product sales</w:t>
            </w:r>
          </w:p>
        </w:tc>
      </w:tr>
      <w:tr>
        <w:tc>
          <w:tcPr/>
          <w:p>
            <w:pPr>
              <w:pStyle w:val="Compact"/>
              <w:jc w:val="left"/>
            </w:pPr>
            <w:r>
              <w:t xml:space="preserve">Year 2</w:t>
            </w:r>
          </w:p>
        </w:tc>
        <w:tc>
          <w:tcPr/>
          <w:p>
            <w:pPr>
              <w:pStyle w:val="Compact"/>
              <w:jc w:val="right"/>
            </w:pPr>
            <w:r>
              <w:t xml:space="preserve">$1,500-$3,000 average monthly gross revenue</w:t>
            </w:r>
          </w:p>
        </w:tc>
        <w:tc>
          <w:tcPr/>
          <w:p>
            <w:pPr>
              <w:pStyle w:val="Compact"/>
              <w:jc w:val="left"/>
            </w:pPr>
            <w:r>
              <w:t xml:space="preserve">Consistent client mix, retention, expanded offers</w:t>
            </w:r>
          </w:p>
        </w:tc>
      </w:tr>
      <w:tr>
        <w:tc>
          <w:tcPr/>
          <w:p>
            <w:pPr>
              <w:pStyle w:val="Compact"/>
              <w:jc w:val="left"/>
            </w:pPr>
            <w:r>
              <w:t xml:space="preserve">Year 3</w:t>
            </w:r>
          </w:p>
        </w:tc>
        <w:tc>
          <w:tcPr/>
          <w:p>
            <w:pPr>
              <w:pStyle w:val="Compact"/>
              <w:jc w:val="right"/>
            </w:pPr>
            <w:r>
              <w:t xml:space="preserve">Based on actual results</w:t>
            </w:r>
          </w:p>
        </w:tc>
        <w:tc>
          <w:tcPr/>
          <w:p>
            <w:pPr>
              <w:pStyle w:val="Compact"/>
              <w:jc w:val="left"/>
            </w:pPr>
            <w:r>
              <w:t xml:space="preserve">Scale profitable services and reduce unstable revenue</w:t>
            </w:r>
          </w:p>
        </w:tc>
      </w:tr>
    </w:tbl>
    <w:p>
      <w:pPr>
        <w:pStyle w:val="BodyText"/>
      </w:pPr>
      <w:r>
        <w:t xml:space="preserve">These are planning targets, not guarantees. They will be reviewed after market testing, pricing research, and early customer results.</w:t>
      </w:r>
    </w:p>
    <w:p>
      <w:pPr>
        <w:pStyle w:val="BodyText"/>
      </w:pPr>
      <w:r>
        <w:rPr>
          <w:bCs/>
          <w:b/>
        </w:rPr>
        <w:t xml:space="preserve">Financial controls:</w:t>
      </w:r>
      <w:r>
        <w:t xml:space="preserve"> </w:t>
      </w:r>
      <w:r>
        <w:t xml:space="preserve">maintain a separate business bank account once established; track sales, expenses, invoices, contracts, and tax records; use a monthly budget and cash-flow review; set aside funds for taxes and operations; and seek benefits counseling before earnings begin or increase.</w:t>
      </w:r>
    </w:p>
    <w:bookmarkEnd w:id="30"/>
    <w:bookmarkStart w:id="31" w:name="support-needs-for-ipe-discussion"/>
    <w:p>
      <w:pPr>
        <w:pStyle w:val="Heading2"/>
      </w:pPr>
      <w:r>
        <w:t xml:space="preserve">Support Needs for IPE Discussion</w:t>
      </w:r>
    </w:p>
    <w:p>
      <w:pPr>
        <w:pStyle w:val="FirstParagraph"/>
      </w:pPr>
      <w:r>
        <w:t xml:space="preserve">The following needs are for planning and discussion. They are not automatic funding requests. Any ACCES-VR support must be necessary for the approved employment outcome and authorized in the IPE.</w:t>
      </w:r>
    </w:p>
    <w:tbl>
      <w:tblPr>
        <w:tblStyle w:val="Table"/>
        <w:tblW w:type="pct" w:w="500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Need</w:t>
            </w:r>
          </w:p>
        </w:tc>
        <w:tc>
          <w:tcPr/>
          <w:p>
            <w:pPr>
              <w:pStyle w:val="Compact"/>
              <w:jc w:val="left"/>
            </w:pPr>
            <w:r>
              <w:t xml:space="preserve">Purpose</w:t>
            </w:r>
          </w:p>
        </w:tc>
        <w:tc>
          <w:tcPr/>
          <w:p>
            <w:pPr>
              <w:pStyle w:val="Compact"/>
              <w:jc w:val="left"/>
            </w:pPr>
            <w:r>
              <w:t xml:space="preserve">Potential support</w:t>
            </w:r>
          </w:p>
        </w:tc>
      </w:tr>
      <w:tr>
        <w:tc>
          <w:tcPr/>
          <w:p>
            <w:pPr>
              <w:pStyle w:val="Compact"/>
              <w:jc w:val="left"/>
            </w:pPr>
            <w:r>
              <w:t xml:space="preserve">Business planning and mentoring</w:t>
            </w:r>
          </w:p>
        </w:tc>
        <w:tc>
          <w:tcPr/>
          <w:p>
            <w:pPr>
              <w:pStyle w:val="Compact"/>
              <w:jc w:val="left"/>
            </w:pPr>
            <w:r>
              <w:t xml:space="preserve">Create a viable, measurable self-employment plan</w:t>
            </w:r>
          </w:p>
        </w:tc>
        <w:tc>
          <w:tcPr/>
          <w:p>
            <w:pPr>
              <w:pStyle w:val="Compact"/>
              <w:jc w:val="left"/>
            </w:pPr>
            <w:r>
              <w:t xml:space="preserve">Business-plan assistance, mentoring, vocational counseling</w:t>
            </w:r>
          </w:p>
        </w:tc>
      </w:tr>
      <w:tr>
        <w:tc>
          <w:tcPr/>
          <w:p>
            <w:pPr>
              <w:pStyle w:val="Compact"/>
              <w:jc w:val="left"/>
            </w:pPr>
            <w:r>
              <w:t xml:space="preserve">Education and training</w:t>
            </w:r>
          </w:p>
        </w:tc>
        <w:tc>
          <w:tcPr/>
          <w:p>
            <w:pPr>
              <w:pStyle w:val="Compact"/>
              <w:jc w:val="left"/>
            </w:pPr>
            <w:r>
              <w:t xml:space="preserve">Complete MA and build work-relevant business skills</w:t>
            </w:r>
          </w:p>
        </w:tc>
        <w:tc>
          <w:tcPr/>
          <w:p>
            <w:pPr>
              <w:pStyle w:val="Compact"/>
              <w:jc w:val="left"/>
            </w:pPr>
            <w:r>
              <w:t xml:space="preserve">Approved education support, required materials, training</w:t>
            </w:r>
          </w:p>
        </w:tc>
      </w:tr>
      <w:tr>
        <w:tc>
          <w:tcPr/>
          <w:p>
            <w:pPr>
              <w:pStyle w:val="Compact"/>
              <w:jc w:val="left"/>
            </w:pPr>
            <w:r>
              <w:t xml:space="preserve">Accessibility and organization</w:t>
            </w:r>
          </w:p>
        </w:tc>
        <w:tc>
          <w:tcPr/>
          <w:p>
            <w:pPr>
              <w:pStyle w:val="Compact"/>
              <w:jc w:val="left"/>
            </w:pPr>
            <w:r>
              <w:t xml:space="preserve">Support sustainable work performance</w:t>
            </w:r>
          </w:p>
        </w:tc>
        <w:tc>
          <w:tcPr/>
          <w:p>
            <w:pPr>
              <w:pStyle w:val="Compact"/>
              <w:jc w:val="left"/>
            </w:pPr>
            <w:r>
              <w:t xml:space="preserve">Accommodations, workflow supports, assistive-technology assessment</w:t>
            </w:r>
          </w:p>
        </w:tc>
      </w:tr>
      <w:tr>
        <w:tc>
          <w:tcPr/>
          <w:p>
            <w:pPr>
              <w:pStyle w:val="Compact"/>
              <w:jc w:val="left"/>
            </w:pPr>
            <w:r>
              <w:t xml:space="preserve">Marketing and customer development</w:t>
            </w:r>
          </w:p>
        </w:tc>
        <w:tc>
          <w:tcPr/>
          <w:p>
            <w:pPr>
              <w:pStyle w:val="Compact"/>
              <w:jc w:val="left"/>
            </w:pPr>
            <w:r>
              <w:t xml:space="preserve">Build qualified customer pipeline</w:t>
            </w:r>
          </w:p>
        </w:tc>
        <w:tc>
          <w:tcPr/>
          <w:p>
            <w:pPr>
              <w:pStyle w:val="Compact"/>
              <w:jc w:val="left"/>
            </w:pPr>
            <w:r>
              <w:t xml:space="preserve">Portfolio guidance, networking, marketing training, business development</w:t>
            </w:r>
          </w:p>
        </w:tc>
      </w:tr>
      <w:tr>
        <w:tc>
          <w:tcPr/>
          <w:p>
            <w:pPr>
              <w:pStyle w:val="Compact"/>
              <w:jc w:val="left"/>
            </w:pPr>
            <w:r>
              <w:t xml:space="preserve">Professional compliance</w:t>
            </w:r>
          </w:p>
        </w:tc>
        <w:tc>
          <w:tcPr/>
          <w:p>
            <w:pPr>
              <w:pStyle w:val="Compact"/>
              <w:jc w:val="left"/>
            </w:pPr>
            <w:r>
              <w:t xml:space="preserve">Operate responsibly and protect clients</w:t>
            </w:r>
          </w:p>
        </w:tc>
        <w:tc>
          <w:tcPr/>
          <w:p>
            <w:pPr>
              <w:pStyle w:val="Compact"/>
              <w:jc w:val="left"/>
            </w:pPr>
            <w:r>
              <w:t xml:space="preserve">Guidance on records, contracts, licensing, taxes, insurance, and privacy</w:t>
            </w:r>
          </w:p>
        </w:tc>
      </w:tr>
      <w:tr>
        <w:tc>
          <w:tcPr/>
          <w:p>
            <w:pPr>
              <w:pStyle w:val="Compact"/>
              <w:jc w:val="left"/>
            </w:pPr>
            <w:r>
              <w:t xml:space="preserve">Benefits planning</w:t>
            </w:r>
          </w:p>
        </w:tc>
        <w:tc>
          <w:tcPr/>
          <w:p>
            <w:pPr>
              <w:pStyle w:val="Compact"/>
              <w:jc w:val="left"/>
            </w:pPr>
            <w:r>
              <w:t xml:space="preserve">Make informed decisions about earnings</w:t>
            </w:r>
          </w:p>
        </w:tc>
        <w:tc>
          <w:tcPr/>
          <w:p>
            <w:pPr>
              <w:pStyle w:val="Compact"/>
              <w:jc w:val="left"/>
            </w:pPr>
            <w:r>
              <w:t xml:space="preserve">Benefits counseling and transition planning</w:t>
            </w:r>
          </w:p>
        </w:tc>
      </w:tr>
    </w:tbl>
    <w:bookmarkEnd w:id="31"/>
    <w:bookmarkStart w:id="32" w:name="milestones-and-measures-of-success"/>
    <w:p>
      <w:pPr>
        <w:pStyle w:val="Heading2"/>
      </w:pPr>
      <w:r>
        <w:t xml:space="preserve">Milestones and Measures of Success</w:t>
      </w:r>
    </w:p>
    <w:tbl>
      <w:tblPr>
        <w:tblStyle w:val="Table"/>
        <w:tblW w:type="pct" w:w="500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Timeframe</w:t>
            </w:r>
          </w:p>
        </w:tc>
        <w:tc>
          <w:tcPr/>
          <w:p>
            <w:pPr>
              <w:pStyle w:val="Compact"/>
              <w:jc w:val="left"/>
            </w:pPr>
            <w:r>
              <w:t xml:space="preserve">Milestone</w:t>
            </w:r>
          </w:p>
        </w:tc>
        <w:tc>
          <w:tcPr/>
          <w:p>
            <w:pPr>
              <w:pStyle w:val="Compact"/>
              <w:jc w:val="left"/>
            </w:pPr>
            <w:r>
              <w:t xml:space="preserve">Measure</w:t>
            </w:r>
          </w:p>
        </w:tc>
      </w:tr>
      <w:tr>
        <w:tc>
          <w:tcPr/>
          <w:p>
            <w:pPr>
              <w:pStyle w:val="Compact"/>
              <w:jc w:val="left"/>
            </w:pPr>
            <w:r>
              <w:t xml:space="preserve">By August 21, 2026</w:t>
            </w:r>
          </w:p>
        </w:tc>
        <w:tc>
          <w:tcPr/>
          <w:p>
            <w:pPr>
              <w:pStyle w:val="Compact"/>
              <w:jc w:val="left"/>
            </w:pPr>
            <w:r>
              <w:t xml:space="preserve">Present business plan, IPE draft, ethics handbook, and active website</w:t>
            </w:r>
          </w:p>
        </w:tc>
        <w:tc>
          <w:tcPr/>
          <w:p>
            <w:pPr>
              <w:pStyle w:val="Compact"/>
              <w:jc w:val="left"/>
            </w:pPr>
            <w:r>
              <w:t xml:space="preserve">Meeting packet reviewed with counselor</w:t>
            </w:r>
          </w:p>
        </w:tc>
      </w:tr>
      <w:tr>
        <w:tc>
          <w:tcPr/>
          <w:p>
            <w:pPr>
              <w:pStyle w:val="Compact"/>
              <w:jc w:val="left"/>
            </w:pPr>
            <w:r>
              <w:t xml:space="preserve">Fall 2026</w:t>
            </w:r>
          </w:p>
        </w:tc>
        <w:tc>
          <w:tcPr/>
          <w:p>
            <w:pPr>
              <w:pStyle w:val="Compact"/>
              <w:jc w:val="left"/>
            </w:pPr>
            <w:r>
              <w:t xml:space="preserve">Continue MA and finalize business foundations</w:t>
            </w:r>
          </w:p>
        </w:tc>
        <w:tc>
          <w:tcPr/>
          <w:p>
            <w:pPr>
              <w:pStyle w:val="Compact"/>
              <w:jc w:val="left"/>
            </w:pPr>
            <w:r>
              <w:t xml:space="preserve">Academic progress; portfolio and service menu completed</w:t>
            </w:r>
          </w:p>
        </w:tc>
      </w:tr>
      <w:tr>
        <w:tc>
          <w:tcPr/>
          <w:p>
            <w:pPr>
              <w:pStyle w:val="Compact"/>
              <w:jc w:val="left"/>
            </w:pPr>
            <w:r>
              <w:t xml:space="preserve">Winter 2026-27</w:t>
            </w:r>
          </w:p>
        </w:tc>
        <w:tc>
          <w:tcPr/>
          <w:p>
            <w:pPr>
              <w:pStyle w:val="Compact"/>
              <w:jc w:val="left"/>
            </w:pPr>
            <w:r>
              <w:t xml:space="preserve">Test services and strengthen outreach</w:t>
            </w:r>
          </w:p>
        </w:tc>
        <w:tc>
          <w:tcPr/>
          <w:p>
            <w:pPr>
              <w:pStyle w:val="Compact"/>
              <w:jc w:val="left"/>
            </w:pPr>
            <w:r>
              <w:t xml:space="preserve">Documented outreach, leads, proposals, and feedback</w:t>
            </w:r>
          </w:p>
        </w:tc>
      </w:tr>
      <w:tr>
        <w:tc>
          <w:tcPr/>
          <w:p>
            <w:pPr>
              <w:pStyle w:val="Compact"/>
              <w:jc w:val="left"/>
            </w:pPr>
            <w:r>
              <w:t xml:space="preserve">Spring-Summer 2027</w:t>
            </w:r>
          </w:p>
        </w:tc>
        <w:tc>
          <w:tcPr/>
          <w:p>
            <w:pPr>
              <w:pStyle w:val="Compact"/>
              <w:jc w:val="left"/>
            </w:pPr>
            <w:r>
              <w:t xml:space="preserve">Secure and complete initial paid work</w:t>
            </w:r>
          </w:p>
        </w:tc>
        <w:tc>
          <w:tcPr/>
          <w:p>
            <w:pPr>
              <w:pStyle w:val="Compact"/>
              <w:jc w:val="left"/>
            </w:pPr>
            <w:r>
              <w:t xml:space="preserve">Paid projects, testimonials, repeat inquiries, or sales</w:t>
            </w:r>
          </w:p>
        </w:tc>
      </w:tr>
      <w:tr>
        <w:tc>
          <w:tcPr/>
          <w:p>
            <w:pPr>
              <w:pStyle w:val="Compact"/>
              <w:jc w:val="left"/>
            </w:pPr>
            <w:r>
              <w:t xml:space="preserve">6-12 months after degree</w:t>
            </w:r>
          </w:p>
        </w:tc>
        <w:tc>
          <w:tcPr/>
          <w:p>
            <w:pPr>
              <w:pStyle w:val="Compact"/>
              <w:jc w:val="left"/>
            </w:pPr>
            <w:r>
              <w:t xml:space="preserve">Build stable self-employment activity</w:t>
            </w:r>
          </w:p>
        </w:tc>
        <w:tc>
          <w:tcPr/>
          <w:p>
            <w:pPr>
              <w:pStyle w:val="Compact"/>
              <w:jc w:val="left"/>
            </w:pPr>
            <w:r>
              <w:t xml:space="preserve">Regular customer activity, tracked revenue, and plan review</w:t>
            </w:r>
          </w:p>
        </w:tc>
      </w:tr>
    </w:tbl>
    <w:bookmarkEnd w:id="32"/>
    <w:bookmarkStart w:id="33" w:name="risk-management"/>
    <w:p>
      <w:pPr>
        <w:pStyle w:val="Heading2"/>
      </w:pPr>
      <w:r>
        <w:t xml:space="preserve">Risk Management</w:t>
      </w:r>
    </w:p>
    <w:tbl>
      <w:tblPr>
        <w:tblStyle w:val="Table"/>
        <w:tblW w:type="pct" w:w="5000"/>
        <w:tblLook w:firstRow="1" w:lastRow="0" w:firstColumn="0" w:lastColumn="0" w:noHBand="0" w:noVBand="0" w:val="0020"/>
        <w:jc w:val="start"/>
      </w:tblPr>
      <w:tblGrid>
        <w:gridCol w:w="3960"/>
        <w:gridCol w:w="3960"/>
      </w:tblGrid>
      <w:tr>
        <w:trPr>
          <w:tblHeader w:val="true"/>
        </w:trPr>
        <w:tc>
          <w:tcPr/>
          <w:p>
            <w:pPr>
              <w:pStyle w:val="Compact"/>
              <w:jc w:val="left"/>
            </w:pPr>
            <w:r>
              <w:t xml:space="preserve">Risk</w:t>
            </w:r>
          </w:p>
        </w:tc>
        <w:tc>
          <w:tcPr/>
          <w:p>
            <w:pPr>
              <w:pStyle w:val="Compact"/>
              <w:jc w:val="left"/>
            </w:pPr>
            <w:r>
              <w:t xml:space="preserve">Response</w:t>
            </w:r>
          </w:p>
        </w:tc>
      </w:tr>
      <w:tr>
        <w:tc>
          <w:tcPr/>
          <w:p>
            <w:pPr>
              <w:pStyle w:val="Compact"/>
              <w:jc w:val="left"/>
            </w:pPr>
            <w:r>
              <w:t xml:space="preserve">Revenue develops slowly</w:t>
            </w:r>
          </w:p>
        </w:tc>
        <w:tc>
          <w:tcPr/>
          <w:p>
            <w:pPr>
              <w:pStyle w:val="Compact"/>
              <w:jc w:val="left"/>
            </w:pPr>
            <w:r>
              <w:t xml:space="preserve">Use phased goals, keep costs low, prioritize customer discovery, and review monthly</w:t>
            </w:r>
          </w:p>
        </w:tc>
      </w:tr>
      <w:tr>
        <w:tc>
          <w:tcPr/>
          <w:p>
            <w:pPr>
              <w:pStyle w:val="Compact"/>
              <w:jc w:val="left"/>
            </w:pPr>
            <w:r>
              <w:t xml:space="preserve">Too many services at once</w:t>
            </w:r>
          </w:p>
        </w:tc>
        <w:tc>
          <w:tcPr/>
          <w:p>
            <w:pPr>
              <w:pStyle w:val="Compact"/>
              <w:jc w:val="left"/>
            </w:pPr>
            <w:r>
              <w:t xml:space="preserve">Start with limited clear offers and expand only after proven demand</w:t>
            </w:r>
          </w:p>
        </w:tc>
      </w:tr>
      <w:tr>
        <w:tc>
          <w:tcPr/>
          <w:p>
            <w:pPr>
              <w:pStyle w:val="Compact"/>
              <w:jc w:val="left"/>
            </w:pPr>
            <w:r>
              <w:t xml:space="preserve">Health or workload limitations</w:t>
            </w:r>
          </w:p>
        </w:tc>
        <w:tc>
          <w:tcPr/>
          <w:p>
            <w:pPr>
              <w:pStyle w:val="Compact"/>
              <w:jc w:val="left"/>
            </w:pPr>
            <w:r>
              <w:t xml:space="preserve">Use flexible scheduling, realistic scopes, milestone-based projects, and accessibility supports</w:t>
            </w:r>
          </w:p>
        </w:tc>
      </w:tr>
      <w:tr>
        <w:tc>
          <w:tcPr/>
          <w:p>
            <w:pPr>
              <w:pStyle w:val="Compact"/>
              <w:jc w:val="left"/>
            </w:pPr>
            <w:r>
              <w:t xml:space="preserve">Client or payment disputes</w:t>
            </w:r>
          </w:p>
        </w:tc>
        <w:tc>
          <w:tcPr/>
          <w:p>
            <w:pPr>
              <w:pStyle w:val="Compact"/>
              <w:jc w:val="left"/>
            </w:pPr>
            <w:r>
              <w:t xml:space="preserve">Use written agreements, payment milestones, and documented approvals</w:t>
            </w:r>
          </w:p>
        </w:tc>
      </w:tr>
      <w:tr>
        <w:tc>
          <w:tcPr/>
          <w:p>
            <w:pPr>
              <w:pStyle w:val="Compact"/>
              <w:jc w:val="left"/>
            </w:pPr>
            <w:r>
              <w:t xml:space="preserve">Technology, privacy, or copyright concerns</w:t>
            </w:r>
          </w:p>
        </w:tc>
        <w:tc>
          <w:tcPr/>
          <w:p>
            <w:pPr>
              <w:pStyle w:val="Compact"/>
              <w:jc w:val="left"/>
            </w:pPr>
            <w:r>
              <w:t xml:space="preserve">Use secure practices, permissions, licensed/original content, backups, and ethical review</w:t>
            </w:r>
          </w:p>
        </w:tc>
      </w:tr>
    </w:tbl>
    <w:bookmarkEnd w:id="33"/>
    <w:bookmarkStart w:id="34" w:name="conclusion"/>
    <w:p>
      <w:pPr>
        <w:pStyle w:val="Heading2"/>
      </w:pPr>
      <w:r>
        <w:t xml:space="preserve">Conclusion</w:t>
      </w:r>
    </w:p>
    <w:p>
      <w:pPr>
        <w:pStyle w:val="FirstParagraph"/>
      </w:pPr>
      <w:r>
        <w:t xml:space="preserve">Draconic Realms Creations is a practical self-employment plan rooted in Eric Bryden’s education, experience, creative abilities, and commitment to ethical communication. With structured vocational guidance, appropriate education and business-development support, accessibility planning, and measured customer growth, DRC can become a sustainable path toward meaningful work and increased financial independence.</w:t>
      </w:r>
    </w:p>
    <w:bookmarkEnd w:id="34"/>
    <w:bookmarkStart w:id="35" w:name="meeting-attachments"/>
    <w:p>
      <w:pPr>
        <w:pStyle w:val="Heading2"/>
      </w:pPr>
      <w:r>
        <w:t xml:space="preserve">Meeting Attachments</w:t>
      </w:r>
    </w:p>
    <w:p>
      <w:pPr>
        <w:numPr>
          <w:ilvl w:val="0"/>
          <w:numId w:val="1003"/>
        </w:numPr>
        <w:pStyle w:val="Compact"/>
      </w:pPr>
      <w:r>
        <w:t xml:space="preserve">IPE Preparation Draft: Self-Employment Goal through Draconic Realms Creations</w:t>
      </w:r>
    </w:p>
    <w:p>
      <w:pPr>
        <w:numPr>
          <w:ilvl w:val="0"/>
          <w:numId w:val="1003"/>
        </w:numPr>
        <w:pStyle w:val="Compact"/>
      </w:pPr>
      <w:r>
        <w:t xml:space="preserve">Draconic Realms Creations Digital Communication Law &amp; Ethics Handbook</w:t>
      </w:r>
    </w:p>
    <w:p>
      <w:pPr>
        <w:numPr>
          <w:ilvl w:val="0"/>
          <w:numId w:val="1003"/>
        </w:numPr>
        <w:pStyle w:val="Compact"/>
      </w:pPr>
      <w:r>
        <w:t xml:space="preserve">DRC website and selected portfolio examples</w:t>
      </w:r>
    </w:p>
    <w:p>
      <w:pPr>
        <w:numPr>
          <w:ilvl w:val="0"/>
          <w:numId w:val="1003"/>
        </w:numPr>
        <w:pStyle w:val="Compact"/>
      </w:pPr>
      <w:r>
        <w:t xml:space="preserve">SNHU MA program information and academic plan</w:t>
      </w:r>
    </w:p>
    <w:p>
      <w:pPr>
        <w:numPr>
          <w:ilvl w:val="0"/>
          <w:numId w:val="1003"/>
        </w:numPr>
        <w:pStyle w:val="Compact"/>
      </w:pPr>
      <w:r>
        <w:t xml:space="preserve">Resume and relevant work samples</w:t>
      </w:r>
    </w:p>
    <w:p>
      <w:pPr>
        <w:numPr>
          <w:ilvl w:val="0"/>
          <w:numId w:val="1003"/>
        </w:numPr>
        <w:pStyle w:val="Compact"/>
      </w:pPr>
      <w:r>
        <w:t xml:space="preserve">ACCES-VR forms, counselor notes, and requested documentation</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Draconic Realms Creations: Self-Employment Business Plan</dc:title>
  <dc:creator/>
  <cp:keywords/>
  <dcterms:created xsi:type="dcterms:W3CDTF">2026-08-13T10:51:30Z</dcterms:created>
  <dcterms:modified xsi:type="dcterms:W3CDTF">2026-08-13T10:51:30Z</dcterms:modified>
</cp:coreProperties>
</file>

<file path=docProps/custom.xml><?xml version="1.0" encoding="utf-8"?>
<Properties xmlns="http://schemas.openxmlformats.org/officeDocument/2006/custom-properties" xmlns:vt="http://schemas.openxmlformats.org/officeDocument/2006/docPropsVTypes"/>
</file>